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有道众包实操技巧详解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分类：有道众包</w:t>
      </w:r>
    </w:p>
    <w:p>
      <w:pPr>
        <w:pStyle w:val="Heading1"/>
      </w:pPr>
      <w:r>
        <w:t xml:space="preserve">一、语音转写技巧</w:t>
      </w:r>
    </w:p>
    <w:p>
      <w:pPr>
        <w:pStyle w:val="Heading2"/>
      </w:pPr>
      <w:r>
        <w:t xml:space="preserve">1.1 基本规则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完整转写听到的内容，使用简体中文，标点符号要规范，数字使用阿拉伯数字</w:t>
      </w:r>
    </w:p>
    <w:p>
      <w:pPr>
        <w:pStyle w:val="Heading2"/>
      </w:pPr>
      <w:r>
        <w:t xml:space="preserve">1.2 提升效率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使用耳机收听，更清晰，设置播放倍速（熟悉后可加速），开启自动保存功能，使用快捷键提高效率</w:t>
      </w:r>
    </w:p>
    <w:p>
      <w:pPr>
        <w:pStyle w:val="Heading1"/>
      </w:pPr>
      <w:r>
        <w:t xml:space="preserve">二、图片标注技巧</w:t>
      </w:r>
    </w:p>
    <w:p>
      <w:pPr>
        <w:pStyle w:val="Heading2"/>
      </w:pPr>
      <w:r>
        <w:t xml:space="preserve">2.1 标注规范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框要完整包含目标物体，框要尽量贴合边缘，不同类别使用不同颜色，重叠物体按要求处理</w:t>
      </w:r>
    </w:p>
    <w:p>
      <w:pPr>
        <w:pStyle w:val="Heading2"/>
      </w:pPr>
      <w:r>
        <w:t xml:space="preserve">2.2 质量控制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放大图片精确定位，避免漏标重要目标，仔细检查边界是否准确，注意任务中的特殊要求</w:t>
      </w:r>
    </w:p>
    <w:p>
      <w:pPr>
        <w:pStyle w:val="Heading1"/>
      </w:pPr>
      <w:r>
        <w:t xml:space="preserve">三、文本审核技巧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严格按照标注指南判断，遇到不确定的及时标记，保持判断标准一致，注意敏感词和违规内容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2026-04-21T03:57:22.701Z</dcterms:created>
  <dcterms:modified xsi:type="dcterms:W3CDTF">2026-04-21T03:57:22.701Z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